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Normal"/>
        <w:ind w:firstLine="567"/>
        <w:jc w:val="right"/>
        <w:rPr>
          <w:rFonts w:ascii="Tinos" w:hAnsi="Tinos"/>
          <w:b/>
          <w:bCs/>
          <w:sz w:val="24"/>
          <w:szCs w:val="24"/>
        </w:rPr>
      </w:pPr>
      <w:r>
        <w:rPr>
          <w:rFonts w:ascii="Tinos" w:hAnsi="Tinos"/>
          <w:b/>
          <w:bCs/>
          <w:sz w:val="24"/>
          <w:szCs w:val="24"/>
        </w:rPr>
        <w:t xml:space="preserve">Для размещения на Инвест</w:t>
      </w:r>
      <w:r>
        <w:rPr>
          <w:rFonts w:ascii="Tinos" w:hAnsi="Tinos" w:cs="Droid Sans Devanagari" w:eastAsia="Droid Sans Fallback"/>
          <w:b/>
          <w:bCs/>
          <w:color w:val="000000"/>
          <w:sz w:val="24"/>
          <w:szCs w:val="24"/>
          <w:lang w:val="ru-RU" w:bidi="hi-IN" w:eastAsia="zh-CN"/>
        </w:rPr>
        <w:t xml:space="preserve">иционном </w:t>
      </w:r>
    </w:p>
    <w:p>
      <w:pPr>
        <w:pStyle w:val="Normal"/>
        <w:ind w:firstLine="567"/>
        <w:jc w:val="right"/>
        <w:rPr>
          <w:rFonts w:ascii="Tinos" w:hAnsi="Tinos"/>
          <w:b/>
          <w:bCs/>
          <w:sz w:val="24"/>
          <w:szCs w:val="24"/>
        </w:rPr>
      </w:pPr>
      <w:r>
        <w:rPr>
          <w:rFonts w:ascii="Tinos" w:hAnsi="Tinos" w:cs="Droid Sans Devanagari" w:eastAsia="Droid Sans Fallback"/>
          <w:b/>
          <w:bCs/>
          <w:color w:val="000000"/>
          <w:sz w:val="24"/>
          <w:szCs w:val="24"/>
          <w:lang w:val="ru-RU" w:bidi="hi-IN" w:eastAsia="zh-CN"/>
        </w:rPr>
        <w:t xml:space="preserve">портале города Нижневартовска</w:t>
      </w:r>
    </w:p>
    <w:p>
      <w:pPr>
        <w:pStyle w:val="Normal"/>
        <w:ind w:firstLine="567"/>
        <w:jc w:val="right"/>
      </w:pPr>
      <w:r/>
    </w:p>
    <w:p>
      <w:pPr>
        <w:pStyle w:val="Normal"/>
        <w:ind w:firstLine="567"/>
        <w:jc w:val="center"/>
        <w:rPr>
          <w:rFonts w:ascii="Times New Roman" w:hAnsi="Times New Roman"/>
          <w:b/>
          <w:color w:val="auto"/>
          <w:sz w:val="32"/>
        </w:rPr>
      </w:pPr>
      <w:r>
        <w:rPr>
          <w:rFonts w:ascii="Times New Roman" w:hAnsi="Times New Roman"/>
          <w:b/>
          <w:color w:val="auto"/>
          <w:sz w:val="32"/>
        </w:rPr>
        <w:t xml:space="preserve">Инвестиционное послание</w:t>
      </w:r>
    </w:p>
    <w:p>
      <w:pPr>
        <w:pStyle w:val="Normal"/>
        <w:ind w:firstLine="567"/>
        <w:jc w:val="center"/>
        <w:rPr>
          <w:rFonts w:ascii="Times New Roman" w:hAnsi="Times New Roman"/>
          <w:b/>
          <w:color w:val="auto"/>
          <w:sz w:val="32"/>
        </w:rPr>
      </w:pPr>
      <w:r>
        <w:rPr>
          <w:rFonts w:ascii="Times New Roman" w:hAnsi="Times New Roman"/>
          <w:b/>
          <w:color w:val="auto"/>
          <w:sz w:val="32"/>
        </w:rPr>
        <w:t xml:space="preserve">главы города Нижневартовска на 2022 год</w:t>
      </w:r>
    </w:p>
    <w:p>
      <w:pPr>
        <w:pStyle w:val="Normal"/>
        <w:ind w:firstLine="567"/>
        <w:rPr>
          <w:rFonts w:ascii="Times New Roman" w:hAnsi="Times New Roman"/>
          <w:color w:val="auto"/>
          <w:sz w:val="32"/>
        </w:rPr>
      </w:pPr>
      <w:r>
        <w:rPr>
          <w:rFonts w:ascii="Times New Roman" w:hAnsi="Times New Roman"/>
          <w:color w:val="auto"/>
          <w:sz w:val="32"/>
        </w:rPr>
      </w:r>
    </w:p>
    <w:p>
      <w:pPr>
        <w:pStyle w:val="Normal"/>
        <w:ind w:firstLine="567"/>
        <w:jc w:val="center"/>
        <w:rPr>
          <w:rFonts w:ascii="Times New Roman" w:hAnsi="Times New Roman"/>
          <w:color w:val="auto"/>
          <w:sz w:val="32"/>
        </w:rPr>
      </w:pPr>
      <w:r>
        <w:rPr>
          <w:rFonts w:ascii="Times New Roman" w:hAnsi="Times New Roman"/>
          <w:color w:val="auto"/>
          <w:sz w:val="32"/>
        </w:rPr>
        <w:t xml:space="preserve">Уважаемые инвесторы, представители бизнес-сообщества и жители города Нижневартовска!</w:t>
      </w:r>
    </w:p>
    <w:p>
      <w:pPr>
        <w:pStyle w:val="Normal"/>
        <w:ind w:firstLine="567"/>
        <w:jc w:val="center"/>
        <w:rPr>
          <w:rFonts w:ascii="Times New Roman" w:hAnsi="Times New Roman"/>
          <w:color w:val="auto"/>
          <w:sz w:val="32"/>
        </w:rPr>
      </w:pPr>
      <w:r>
        <w:rPr>
          <w:rFonts w:ascii="Times New Roman" w:hAnsi="Times New Roman"/>
          <w:color w:val="auto"/>
          <w:sz w:val="32"/>
        </w:rPr>
      </w:r>
    </w:p>
    <w:p>
      <w:pPr>
        <w:pStyle w:val="Normal"/>
        <w:ind w:firstLine="567"/>
        <w:jc w:val="both"/>
        <w:rPr>
          <w:rFonts w:ascii="Times New Roman" w:hAnsi="Times New Roman"/>
          <w:color w:val="auto"/>
          <w:sz w:val="32"/>
        </w:rPr>
      </w:pPr>
      <w:r>
        <w:rPr>
          <w:rFonts w:ascii="Times New Roman" w:hAnsi="Times New Roman"/>
          <w:color w:val="auto"/>
          <w:sz w:val="32"/>
        </w:rPr>
        <w:t xml:space="preserve">В традиционном инвестпослании расскажу об основных достижениях 2021 года, планах на ближайшее время и тех условиях, которые мы создаем в нашем городе для привлечения инвестиций. </w:t>
      </w:r>
    </w:p>
    <w:p>
      <w:pPr>
        <w:pStyle w:val="Normal"/>
        <w:ind w:firstLine="567"/>
        <w:jc w:val="both"/>
        <w:rPr>
          <w:rFonts w:ascii="Times New Roman" w:hAnsi="Times New Roman"/>
          <w:color w:val="auto"/>
          <w:sz w:val="32"/>
        </w:rPr>
      </w:pPr>
      <w:r>
        <w:rPr>
          <w:rFonts w:ascii="Times New Roman" w:hAnsi="Times New Roman"/>
          <w:color w:val="auto"/>
          <w:sz w:val="32"/>
        </w:rPr>
        <w:t xml:space="preserve">По итогам прошлого года за счет средств инвесторов был реализован ряд проектов общей стоимостью более 4,2 млрд. рублей. Из них наиболее крупные: жилищное строительство в кварталах 32, В1, 26, «Прибрежный-1», микрорайонах 8, 16П; дилерский центр «RENAULT-САМОТЛОРАВТО»; реконструкция торгового центра «ЮграМолл», здания автосалона и сервисного центра «Форвард-Авто»; торговый центр в старой части города; административно-бытовой комплекс с химлабораторией.  </w:t>
      </w:r>
    </w:p>
    <w:p>
      <w:pPr>
        <w:pStyle w:val="Normal"/>
        <w:ind w:firstLine="567"/>
        <w:jc w:val="both"/>
        <w:rPr>
          <w:rFonts w:ascii="Times New Roman" w:hAnsi="Times New Roman"/>
          <w:color w:val="auto"/>
          <w:sz w:val="32"/>
        </w:rPr>
      </w:pPr>
      <w:r>
        <w:rPr>
          <w:rFonts w:ascii="Times New Roman" w:hAnsi="Times New Roman"/>
          <w:color w:val="auto"/>
          <w:sz w:val="32"/>
        </w:rPr>
        <w:t xml:space="preserve">Всего на территории города реализуется более 160 инвестиционных проектов на общую сумму свыше 19 млрд. рублей. Среди них отмечу Торговый комплекс «Станция», спортивно-досуговый центр «Чемпион», офисный центр с апартаментами, а также проекты, реализуемые на условиях концессионного соглашения.</w:t>
      </w:r>
    </w:p>
    <w:p>
      <w:pPr>
        <w:pStyle w:val="Normal"/>
        <w:ind w:firstLine="567"/>
        <w:jc w:val="both"/>
        <w:rPr>
          <w:rFonts w:ascii="Times New Roman" w:hAnsi="Times New Roman"/>
          <w:color w:val="auto"/>
          <w:sz w:val="32"/>
        </w:rPr>
      </w:pPr>
      <w:r>
        <w:rPr>
          <w:rFonts w:ascii="Times New Roman" w:hAnsi="Times New Roman"/>
          <w:color w:val="auto"/>
          <w:sz w:val="32"/>
        </w:rPr>
        <w:t xml:space="preserve">В 2021 году начата реализация проекта лесного комплекса «ЯГОМ». Это уникальный рекреационный объект, который мы создаем путем адаптации и обустройства лесного массива для организации качественного культурно-спортивного досуга, массовых мероприятий, ведения просветительской и научно-практической деятельн</w:t>
      </w:r>
      <w:r>
        <w:rPr>
          <w:rFonts w:ascii="Times New Roman" w:hAnsi="Times New Roman"/>
          <w:color w:val="auto"/>
          <w:sz w:val="32"/>
          <w:szCs w:val="32"/>
        </w:rPr>
        <w:t xml:space="preserve">ости. Проект рассчитан на 3 года и завершится в декабре 2023 года. </w:t>
      </w:r>
      <w:r>
        <w:rPr>
          <w:rFonts w:ascii="Times New Roman" w:hAnsi="Times New Roman" w:cs="Times New Roman"/>
          <w:color w:val="auto"/>
          <w:sz w:val="32"/>
          <w:szCs w:val="32"/>
        </w:rPr>
        <w:t xml:space="preserve">У проекта есть выраженный инвестиционный потенциал и возможности дополнения и развития. Здесь возможны варианты – либо мы ищем инвестора который создает и эксплуатирует объекты, либо создаем их самостоятельно и передаем в эксплуатацию, тем самым исключив расходы на дальнейшее содержание. Инвестиции возможны в глэмпинг, веревочный парк, прокат спортивного инвентаря, общепит, метательный тир, спа центр и многое другое.</w:t>
      </w:r>
    </w:p>
    <w:p>
      <w:pPr>
        <w:pStyle w:val="Normal"/>
        <w:ind w:firstLine="567"/>
        <w:jc w:val="both"/>
        <w:rPr>
          <w:rFonts w:ascii="Times New Roman" w:hAnsi="Times New Roman"/>
          <w:color w:val="auto"/>
          <w:sz w:val="32"/>
        </w:rPr>
      </w:pPr>
      <w:r>
        <w:rPr>
          <w:rFonts w:ascii="Times New Roman" w:hAnsi="Times New Roman"/>
          <w:color w:val="auto"/>
          <w:sz w:val="32"/>
        </w:rPr>
        <w:t xml:space="preserve">Продолжается работа по внедрению механизмов государственно-ч</w:t>
      </w:r>
      <w:bookmarkStart w:id="0" w:name="_GoBack1"/>
      <w:bookmarkEnd w:id="0"/>
      <w:r>
        <w:rPr>
          <w:rFonts w:ascii="Times New Roman" w:hAnsi="Times New Roman"/>
          <w:color w:val="auto"/>
          <w:sz w:val="32"/>
        </w:rPr>
        <w:t xml:space="preserve">астного партнёрства. Эффективная деятельность Нижневартовска в этом направлении, а именно – улучшение институциональной среды, качество нормативной правовой базы и заключение крупных концессий с привлечением большого объема частных инвестиций – подтверждена наивысшим результатом (1 место) в рейтинге 110 крупнейших городов России по уровню развития государственно-частного партнёрства.  </w:t>
      </w:r>
    </w:p>
    <w:p>
      <w:pPr>
        <w:pStyle w:val="Normal"/>
        <w:ind w:firstLine="567"/>
        <w:jc w:val="both"/>
        <w:rPr>
          <w:rFonts w:ascii="Times New Roman" w:hAnsi="Times New Roman"/>
          <w:color w:val="auto"/>
          <w:sz w:val="32"/>
        </w:rPr>
      </w:pPr>
      <w:r>
        <w:rPr>
          <w:rFonts w:ascii="Times New Roman" w:hAnsi="Times New Roman"/>
          <w:color w:val="auto"/>
          <w:sz w:val="32"/>
        </w:rPr>
        <w:t xml:space="preserve">Совместно с государственной корпорацией ВЭБ.РФ ведется работа по реализации ряда инфраструктурных проектов в социальной, коммунальной и транспортной сферах. Можно отметить амбициозный проект по созданию локальных очистных сооружений и реконструкции ливневой системы с применением инновационных технологий. Таких примеров в России на сегодняшний день нет – Нижневартовск готов выступить пилотной площадкой. </w:t>
      </w:r>
    </w:p>
    <w:p>
      <w:pPr>
        <w:pStyle w:val="Normal"/>
        <w:ind w:firstLine="567"/>
        <w:jc w:val="both"/>
        <w:rPr>
          <w:rFonts w:ascii="Times New Roman" w:hAnsi="Times New Roman"/>
          <w:color w:val="auto"/>
          <w:sz w:val="32"/>
        </w:rPr>
      </w:pPr>
      <w:r>
        <w:rPr>
          <w:rFonts w:ascii="Times New Roman" w:hAnsi="Times New Roman"/>
          <w:color w:val="auto"/>
          <w:sz w:val="32"/>
        </w:rPr>
        <w:t xml:space="preserve">Также в перспективе планируются к реализации инвестиционные прое</w:t>
      </w:r>
      <w:r>
        <w:rPr>
          <w:rFonts w:ascii="Times New Roman" w:hAnsi="Times New Roman"/>
          <w:color w:val="000000"/>
          <w:sz w:val="32"/>
          <w:shd w:val="clear" w:fill="auto"/>
        </w:rPr>
        <w:t xml:space="preserve">кты: реконструкция парка Победы, благоустройство территории Комсомольского озера, создание и реконструкция объектов уличного освещения, строительство трех школ.</w:t>
      </w:r>
    </w:p>
    <w:p>
      <w:pPr>
        <w:pStyle w:val="Normal"/>
        <w:ind w:firstLine="567"/>
        <w:jc w:val="both"/>
        <w:rPr>
          <w:shd w:val="clear" w:fill="auto"/>
        </w:rPr>
      </w:pPr>
      <w:r>
        <w:rPr>
          <w:rFonts w:ascii="Times New Roman" w:hAnsi="Times New Roman"/>
          <w:color w:val="000000"/>
          <w:sz w:val="32"/>
          <w:shd w:val="clear" w:fill="auto"/>
        </w:rPr>
        <w:t xml:space="preserve">Вопросы развития инфраструктуры и развития застроенных территорией остаются в числе приоритетных. Так, в</w:t>
      </w:r>
      <w:r>
        <w:rPr>
          <w:rFonts w:ascii="Tinos" w:hAnsi="Tinos" w:cs="Calibri" w:eastAsia="SimSun"/>
          <w:color w:val="000000"/>
          <w:sz w:val="32"/>
          <w:szCs w:val="32"/>
          <w:shd w:val="clear" w:fill="auto"/>
          <w:lang w:eastAsia="ar-SA"/>
        </w:rPr>
        <w:t xml:space="preserve"> начале 2021 года был заключен договор о р</w:t>
      </w:r>
      <w:bookmarkStart w:id="1" w:name="_GoBack"/>
      <w:bookmarkEnd w:id="1"/>
      <w:r>
        <w:rPr>
          <w:rFonts w:ascii="Tinos" w:hAnsi="Tinos" w:cs="Calibri" w:eastAsia="SimSun"/>
          <w:color w:val="000000"/>
          <w:sz w:val="32"/>
          <w:szCs w:val="32"/>
          <w:shd w:val="clear" w:fill="auto"/>
          <w:lang w:eastAsia="ar-SA"/>
        </w:rPr>
        <w:t xml:space="preserve">азвитии застроенной территории квартала "Прибрежный-3.1" в границах красных линий улиц 60 лет Октября, Мусы Джалиля, Г.И. Пикмана и продолжения бульвара Рябинового. </w:t>
      </w:r>
      <w:r>
        <w:rPr>
          <w:rFonts w:ascii="Tinos" w:hAnsi="Tinos" w:eastAsia="Calibri"/>
          <w:bCs/>
          <w:color w:val="000000"/>
          <w:sz w:val="32"/>
          <w:szCs w:val="32"/>
          <w:shd w:val="clear" w:fill="auto"/>
          <w:lang w:eastAsia="en-US"/>
        </w:rPr>
        <w:t xml:space="preserve">Во исполнение договора в 2021 году безвозмездно переданы в муниципальную собственность 12 квартир и перечислены денежные средства на сумму 64,5 млн. руб. </w:t>
      </w:r>
    </w:p>
    <w:p>
      <w:pPr>
        <w:pStyle w:val="Normal"/>
        <w:ind w:firstLine="567"/>
        <w:jc w:val="both"/>
        <w:rPr>
          <w:shd w:val="clear" w:fill="auto"/>
        </w:rPr>
      </w:pPr>
      <w:r>
        <w:rPr>
          <w:rFonts w:ascii="Times New Roman" w:hAnsi="Times New Roman"/>
          <w:color w:val="000000"/>
          <w:sz w:val="32"/>
          <w:shd w:val="clear" w:fill="auto"/>
        </w:rPr>
        <w:t xml:space="preserve">Планируем заключение договоров о комплексном развитии территории 1П и 9П микрорайонов.</w:t>
      </w:r>
    </w:p>
    <w:p>
      <w:pPr>
        <w:pStyle w:val="Normal"/>
        <w:ind w:firstLine="567"/>
        <w:jc w:val="both"/>
        <w:rPr>
          <w:rFonts w:ascii="Times New Roman" w:hAnsi="Times New Roman"/>
          <w:color w:val="auto"/>
          <w:sz w:val="32"/>
        </w:rPr>
      </w:pPr>
      <w:r>
        <w:rPr>
          <w:rFonts w:ascii="Times New Roman" w:hAnsi="Times New Roman"/>
          <w:color w:val="000000"/>
          <w:sz w:val="32"/>
          <w:shd w:val="clear" w:fill="auto"/>
        </w:rPr>
        <w:t xml:space="preserve">Стремясь создать комфортные условия для инвесторов, осуществляем сопровождение инвестиционных проектов по принципу "одного окна". Эта мера поддержки предоставляется по личному обращению или через Навигатор мер муниципальной поддержки, размещенный на сайте органов местного самоуправления. Доля мер, предоставленных в эл</w:t>
      </w:r>
      <w:r>
        <w:rPr>
          <w:rFonts w:ascii="Times New Roman" w:hAnsi="Times New Roman"/>
          <w:color w:val="auto"/>
          <w:sz w:val="32"/>
        </w:rPr>
        <w:t xml:space="preserve">ектронном виде, по итогам 2021 года составила 92%. Но уже в этом году все меры поддержки будем предоставлять исключительно в электронном виде.</w:t>
      </w:r>
    </w:p>
    <w:p>
      <w:pPr>
        <w:pStyle w:val="Normal"/>
        <w:ind w:firstLine="567"/>
        <w:jc w:val="both"/>
        <w:rPr>
          <w:color w:val="auto"/>
        </w:rPr>
      </w:pPr>
      <w:r>
        <w:rPr>
          <w:rFonts w:ascii="Times New Roman" w:hAnsi="Times New Roman"/>
          <w:color w:val="auto"/>
          <w:sz w:val="32"/>
        </w:rPr>
        <w:t xml:space="preserve">Кроме этого, в 2021 году мы сократили среднее количество процедур при подключении к электрическим сетям – 3,21 шт. (в 2020 году 3,27 шт.) и среднее время технологического присоединения – 28,9 рабочих дней (в 2020 году – 32,55 рабочих дней).   </w:t>
      </w:r>
    </w:p>
    <w:p>
      <w:pPr>
        <w:pStyle w:val="Normal"/>
        <w:ind w:firstLine="567"/>
        <w:jc w:val="both"/>
        <w:rPr>
          <w:rFonts w:ascii="Times New Roman" w:hAnsi="Times New Roman"/>
          <w:color w:val="auto"/>
          <w:sz w:val="32"/>
        </w:rPr>
      </w:pPr>
      <w:r>
        <w:rPr>
          <w:rFonts w:ascii="Times New Roman" w:hAnsi="Times New Roman"/>
          <w:color w:val="auto"/>
          <w:sz w:val="32"/>
        </w:rPr>
        <w:t xml:space="preserve">Нижневартовск внедряет успешную практику энергосервисных контрактов, направленных на энергосбережение. В 2021 году заключено 6 таких контрактов на установку автоматизированных индивидуальных тепловых пунктов. В результате энергосервисных мероприятий за отопительный период 2020-2021 годов удалось снизить потребление тепловой энергии в образовательных организациях на 6 гигакалорий или на 9,8 млн. рублей.</w:t>
      </w:r>
    </w:p>
    <w:p>
      <w:pPr>
        <w:pStyle w:val="Normal"/>
        <w:ind w:firstLine="567"/>
        <w:jc w:val="both"/>
        <w:rPr>
          <w:rFonts w:ascii="Times New Roman" w:hAnsi="Times New Roman"/>
          <w:color w:val="auto"/>
          <w:sz w:val="32"/>
        </w:rPr>
      </w:pPr>
      <w:r>
        <w:rPr>
          <w:rFonts w:ascii="Times New Roman" w:hAnsi="Times New Roman"/>
          <w:color w:val="auto"/>
          <w:sz w:val="32"/>
        </w:rPr>
        <w:t xml:space="preserve">На 2022 год запланировано заключение 4 энергосервисных контрактов на установку автоматизированных индивидуальных тепловых пунктов в образовательных организациях города.</w:t>
      </w:r>
    </w:p>
    <w:p>
      <w:pPr>
        <w:pStyle w:val="Normal"/>
        <w:ind w:firstLine="567"/>
        <w:jc w:val="both"/>
        <w:rPr>
          <w:color w:val="auto"/>
        </w:rPr>
      </w:pPr>
      <w:r>
        <w:rPr>
          <w:rFonts w:ascii="Times New Roman" w:hAnsi="Times New Roman"/>
          <w:color w:val="auto"/>
          <w:sz w:val="32"/>
        </w:rPr>
        <w:t xml:space="preserve">Несколько слов о мерах поддержки малого и среднего бизнеса. Основные из них:</w:t>
      </w:r>
    </w:p>
    <w:p>
      <w:pPr>
        <w:pStyle w:val="Normal"/>
        <w:ind w:firstLine="567"/>
        <w:jc w:val="both"/>
        <w:rPr>
          <w:color w:val="auto"/>
        </w:rPr>
      </w:pPr>
      <w:r>
        <w:rPr>
          <w:rFonts w:ascii="Times New Roman" w:hAnsi="Times New Roman"/>
          <w:color w:val="auto"/>
          <w:sz w:val="32"/>
        </w:rPr>
        <w:t xml:space="preserve">- меры поддержки в соответствии с муниципальной программой "Развитие малого и среднего предпринимательства на территории города Нижневартовска" (в 2021 году оказано мер поддержки в размере 22 226,12 тыс. рублей);</w:t>
      </w:r>
    </w:p>
    <w:p>
      <w:pPr>
        <w:pStyle w:val="Normal"/>
        <w:ind w:firstLine="567"/>
        <w:jc w:val="both"/>
        <w:rPr>
          <w:color w:val="auto"/>
        </w:rPr>
      </w:pPr>
      <w:r>
        <w:rPr>
          <w:rFonts w:ascii="Times New Roman" w:hAnsi="Times New Roman"/>
          <w:color w:val="auto"/>
          <w:sz w:val="32"/>
        </w:rPr>
        <w:t xml:space="preserve">- меры поддержки в соответствии с муниципальной программой "Развитие агропромышленного комплекса на территории города Нижневартовска" (в 2021 году оказано мер поддержки в размере 131 458,5 тыс. рублей).</w:t>
      </w:r>
    </w:p>
    <w:p>
      <w:pPr>
        <w:pStyle w:val="Normal"/>
        <w:ind w:firstLine="567"/>
        <w:jc w:val="both"/>
        <w:rPr>
          <w:rFonts w:ascii="Times New Roman" w:hAnsi="Times New Roman"/>
          <w:color w:val="auto"/>
          <w:sz w:val="32"/>
        </w:rPr>
      </w:pPr>
      <w:r>
        <w:rPr>
          <w:rFonts w:ascii="Times New Roman" w:hAnsi="Times New Roman"/>
          <w:color w:val="auto"/>
          <w:sz w:val="32"/>
        </w:rPr>
        <w:t xml:space="preserve">Кроме того, на налоговый период 2021 года снижены ставки:</w:t>
      </w:r>
    </w:p>
    <w:p>
      <w:pPr>
        <w:pStyle w:val="Normal"/>
        <w:ind w:firstLine="567"/>
        <w:jc w:val="both"/>
        <w:rPr>
          <w:rFonts w:ascii="Times New Roman" w:hAnsi="Times New Roman"/>
          <w:color w:val="auto"/>
          <w:sz w:val="32"/>
        </w:rPr>
      </w:pPr>
      <w:r>
        <w:rPr>
          <w:rFonts w:ascii="Times New Roman" w:hAnsi="Times New Roman"/>
          <w:color w:val="auto"/>
          <w:sz w:val="32"/>
        </w:rPr>
        <w:t xml:space="preserve">- по земельному налогу в два раза в отношении земельных участков под объектами общественного питания (с 0,5% до 0,25%) и под объектами культурного развития (с 1,4% до 0,7%);</w:t>
      </w:r>
    </w:p>
    <w:p>
      <w:pPr>
        <w:pStyle w:val="Normal"/>
        <w:ind w:firstLine="567"/>
        <w:jc w:val="both"/>
        <w:rPr>
          <w:rFonts w:ascii="Times New Roman" w:hAnsi="Times New Roman"/>
          <w:color w:val="auto"/>
          <w:sz w:val="32"/>
        </w:rPr>
      </w:pPr>
      <w:r>
        <w:rPr>
          <w:rFonts w:ascii="Times New Roman" w:hAnsi="Times New Roman"/>
          <w:color w:val="auto"/>
          <w:sz w:val="32"/>
        </w:rPr>
        <w:t xml:space="preserve">- по налогу на имущество физических лиц (с 2% до 0,75%).</w:t>
      </w:r>
    </w:p>
    <w:p>
      <w:pPr>
        <w:pStyle w:val="Normal"/>
        <w:ind w:firstLine="567"/>
        <w:jc w:val="both"/>
        <w:rPr>
          <w:color w:val="auto"/>
        </w:rPr>
      </w:pPr>
      <w:r>
        <w:rPr>
          <w:rFonts w:ascii="Times New Roman" w:hAnsi="Times New Roman"/>
          <w:color w:val="auto"/>
          <w:sz w:val="32"/>
        </w:rPr>
        <w:t xml:space="preserve">В 2022 году планируется сохранение пониженных ставок по земельному налогу и по налогу на имущество физических лиц на уровне 2021 года.</w:t>
      </w:r>
    </w:p>
    <w:p>
      <w:pPr>
        <w:pStyle w:val="Normal"/>
        <w:ind w:firstLine="567"/>
        <w:jc w:val="both"/>
        <w:rPr>
          <w:rFonts w:ascii="Times New Roman" w:hAnsi="Times New Roman"/>
          <w:color w:val="auto"/>
          <w:sz w:val="32"/>
        </w:rPr>
      </w:pPr>
      <w:r>
        <w:rPr>
          <w:rFonts w:ascii="Times New Roman" w:hAnsi="Times New Roman"/>
          <w:color w:val="auto"/>
          <w:sz w:val="32"/>
        </w:rPr>
        <w:t xml:space="preserve">Принятые меры поддержки отраслей экономики позволили сохранить численность занятых в сфере субъектов малого и среднего предпринимательства, а также поддержать благоприятный деловой климат в городе в условиях негативных тенденций в экономике.</w:t>
      </w:r>
    </w:p>
    <w:p>
      <w:pPr>
        <w:pStyle w:val="Normal"/>
        <w:ind w:firstLine="567"/>
        <w:jc w:val="both"/>
        <w:rPr>
          <w:rFonts w:ascii="Times New Roman" w:hAnsi="Times New Roman"/>
          <w:color w:val="auto"/>
          <w:sz w:val="32"/>
        </w:rPr>
      </w:pPr>
      <w:r>
        <w:rPr>
          <w:rFonts w:ascii="Times New Roman" w:hAnsi="Times New Roman"/>
          <w:color w:val="auto"/>
          <w:sz w:val="32"/>
        </w:rPr>
        <w:t xml:space="preserve">В 2021 году проводилась работа по оказанию имущественной поддержки субъектам предпринимательской деятельности путем предоставления муниципальных помещений. Такая поддержка оказана 55 субъектам малого и среднего предпринимательства путем предоставления в аренду 80 объектов муниципального имущества.</w:t>
      </w:r>
    </w:p>
    <w:p>
      <w:pPr>
        <w:pStyle w:val="Normal"/>
        <w:ind w:firstLine="567"/>
        <w:jc w:val="both"/>
        <w:rPr>
          <w:rFonts w:ascii="Times New Roman" w:hAnsi="Times New Roman"/>
          <w:color w:val="auto"/>
          <w:sz w:val="32"/>
        </w:rPr>
      </w:pPr>
      <w:r>
        <w:rPr>
          <w:rFonts w:ascii="Times New Roman" w:hAnsi="Times New Roman"/>
          <w:color w:val="auto"/>
          <w:sz w:val="32"/>
        </w:rPr>
        <w:t xml:space="preserve">Стабильное развитие Нижневартовска определяет, в том числе, и реализация стратегических документов. </w:t>
      </w:r>
    </w:p>
    <w:p>
      <w:pPr>
        <w:pStyle w:val="Normal"/>
        <w:ind w:firstLine="567"/>
        <w:jc w:val="both"/>
        <w:rPr>
          <w:rFonts w:ascii="Times New Roman" w:hAnsi="Times New Roman"/>
          <w:color w:val="auto"/>
          <w:sz w:val="32"/>
          <w:szCs w:val="32"/>
        </w:rPr>
      </w:pPr>
      <w:r>
        <w:rPr>
          <w:rFonts w:ascii="Times New Roman" w:hAnsi="Times New Roman"/>
          <w:color w:val="auto"/>
          <w:sz w:val="32"/>
        </w:rPr>
        <w:t xml:space="preserve">В 2020 году осуществлено внедрение Цифровой информаци</w:t>
      </w:r>
      <w:r>
        <w:rPr>
          <w:rFonts w:ascii="Times New Roman" w:hAnsi="Times New Roman"/>
          <w:color w:val="auto"/>
          <w:sz w:val="32"/>
          <w:szCs w:val="32"/>
        </w:rPr>
        <w:t xml:space="preserve">онной модели управления развитием территории города, отдельным разделом которой является концепция инвестиционного развития. Создан 3D портал, обновилась муниципальная геоинформационная система, внедрены интерактивные информационные аналитические панели. </w:t>
      </w:r>
    </w:p>
    <w:p>
      <w:pPr>
        <w:pStyle w:val="Normal"/>
        <w:ind w:firstLine="567"/>
        <w:jc w:val="both"/>
        <w:rPr>
          <w:rFonts w:ascii="Times New Roman" w:hAnsi="Times New Roman"/>
          <w:color w:val="auto"/>
          <w:sz w:val="32"/>
        </w:rPr>
      </w:pPr>
      <w:r>
        <w:rPr>
          <w:rFonts w:ascii="Tinos" w:hAnsi="Tinos" w:cs="Times New Roman" w:eastAsia="Times New Roman"/>
          <w:color w:val="000000"/>
          <w:sz w:val="32"/>
          <w:szCs w:val="32"/>
          <w:shd w:val="clear" w:fill="ffffff"/>
          <w:lang w:eastAsia="ru-RU"/>
        </w:rPr>
        <w:t xml:space="preserve">Чтобы упростить подбор инвестиционных площадок для инвесторов, разработаны формы инвестиционных паспортов. Также разработан механизм подбора земельного участка исходя из критериев инвестиционного проекта и механизм проверки возможности размещения инвестиционного проекта на земельном участке. </w:t>
      </w:r>
      <w:r>
        <w:rPr>
          <w:rFonts w:ascii="Times New Roman" w:hAnsi="Times New Roman"/>
          <w:color w:val="auto"/>
          <w:sz w:val="32"/>
          <w:szCs w:val="32"/>
        </w:rPr>
        <w:t xml:space="preserve">Всё это позволяет нам максимально открыто разговаривать с потенциальными инвесторами и широко демонстрировать собственные возможности.  </w:t>
      </w:r>
    </w:p>
    <w:p>
      <w:pPr>
        <w:pStyle w:val="Normal"/>
        <w:ind w:firstLine="567"/>
        <w:jc w:val="both"/>
        <w:rPr>
          <w:rFonts w:ascii="Times New Roman" w:hAnsi="Times New Roman"/>
          <w:color w:val="auto"/>
          <w:sz w:val="32"/>
        </w:rPr>
      </w:pPr>
      <w:r>
        <w:rPr>
          <w:rFonts w:ascii="Times New Roman" w:hAnsi="Times New Roman"/>
          <w:color w:val="auto"/>
          <w:sz w:val="32"/>
        </w:rPr>
        <w:t xml:space="preserve">Добавлю, что в рейтинге муниципальных образований Югры по обеспечению благоприятного инвестиционного климата и содействию развитию конкуренции Нижневартовск занял 3 место, как муниципальное образование с хорошими условиями предпринимательской и инвестиционной деятельности, хорошим уровнем развития конкуренции.</w:t>
      </w:r>
    </w:p>
    <w:p>
      <w:pPr>
        <w:pStyle w:val="Normal"/>
        <w:ind w:firstLine="567"/>
        <w:jc w:val="both"/>
        <w:rPr>
          <w:color w:val="auto"/>
          <w:sz w:val="32"/>
          <w:szCs w:val="32"/>
        </w:rPr>
      </w:pPr>
      <w:r>
        <w:rPr>
          <w:rFonts w:ascii="Times New Roman" w:hAnsi="Times New Roman"/>
          <w:color w:val="auto"/>
          <w:sz w:val="32"/>
          <w:szCs w:val="32"/>
        </w:rPr>
        <w:t xml:space="preserve">Отдельно стоит сказать, что Нижневартовск входит в категорию "Высший уровень" среди муниципалитетов автономного округа и отмечен как муниципальное образование, добившееся значительных успехов в эффективном взаимодействии с бизнес-сообществом, применении опыта использования количественных методов и анализа издержек при проведении ОРВ, а также в "Лучших практиках" проведения ОРВ, экспертизы и ОФВ.</w:t>
      </w:r>
    </w:p>
    <w:p>
      <w:pPr>
        <w:pStyle w:val="Normal"/>
        <w:ind w:firstLine="567"/>
        <w:jc w:val="both"/>
        <w:rPr>
          <w:color w:val="auto"/>
          <w:sz w:val="32"/>
          <w:szCs w:val="32"/>
        </w:rPr>
      </w:pPr>
      <w:r>
        <w:rPr>
          <w:rFonts w:ascii="Times New Roman" w:hAnsi="Times New Roman"/>
          <w:color w:val="auto"/>
          <w:sz w:val="32"/>
          <w:szCs w:val="32"/>
        </w:rPr>
        <w:t xml:space="preserve">Администрация города Нижневартовска заняла третье место в ежегодном окружном конкурсе «Лучшие проекты (практики) по функционированию системы антимонопольного комплаенса» с практикой </w:t>
      </w:r>
      <w:r>
        <w:rPr>
          <w:rFonts w:ascii="Times New Roman" w:hAnsi="Times New Roman" w:eastAsia="Times New Roman"/>
          <w:color w:val="auto"/>
          <w:sz w:val="32"/>
          <w:szCs w:val="32"/>
          <w:lang w:eastAsia="ru-RU"/>
        </w:rPr>
        <w:t xml:space="preserve">«Стандартизация антимонопольной культуры поведения муниципальных служащих».</w:t>
      </w:r>
      <w:r>
        <w:rPr>
          <w:rFonts w:ascii="Times New Roman" w:hAnsi="Times New Roman"/>
          <w:color w:val="auto"/>
          <w:sz w:val="32"/>
          <w:szCs w:val="32"/>
        </w:rPr>
        <w:t xml:space="preserve"> </w:t>
      </w:r>
    </w:p>
    <w:p>
      <w:pPr>
        <w:pStyle w:val="Normal"/>
        <w:ind w:firstLine="567"/>
        <w:jc w:val="both"/>
        <w:rPr>
          <w:rFonts w:ascii="Times New Roman" w:hAnsi="Times New Roman"/>
          <w:color w:val="auto"/>
          <w:sz w:val="32"/>
        </w:rPr>
      </w:pPr>
      <w:r>
        <w:rPr>
          <w:rFonts w:ascii="Times New Roman" w:hAnsi="Times New Roman"/>
          <w:color w:val="auto"/>
          <w:sz w:val="32"/>
        </w:rPr>
        <w:t xml:space="preserve">Приведу еще несколько цифр. Так, в 2021 году численность населения Нижневартовска выросла и составила 279,8 тыс. человек. Численность занятых в экономике города - 125,6 тыс. человек. Объем инвестиций в основной капитал за счет всех источников финансирования - 40 млрд. руб. Оборот малых и средних предприятий - 121 млрд. рублей. Количество малых и средних предприятий - 3,6 тыс. ед. Количество вновь зарегистрированных малых и средних предприятий - 260 ед. И это несмотря на пандемию и санкционное давление.</w:t>
      </w:r>
    </w:p>
    <w:p>
      <w:pPr>
        <w:pStyle w:val="Normal"/>
        <w:ind w:firstLine="567"/>
        <w:jc w:val="both"/>
        <w:rPr>
          <w:rFonts w:ascii="Times New Roman" w:hAnsi="Times New Roman"/>
          <w:color w:val="auto"/>
          <w:sz w:val="32"/>
        </w:rPr>
      </w:pPr>
      <w:r>
        <w:rPr>
          <w:rFonts w:ascii="Times New Roman" w:hAnsi="Times New Roman"/>
          <w:color w:val="auto"/>
          <w:sz w:val="32"/>
        </w:rPr>
        <w:t xml:space="preserve">Завершить инвестиционное послание хочу высказыванием Губернатора Натальи Владимировны Комаровой: «Нам нужны партнеры с идеями, с проектами, для которых мы готовы прорабатывать специальные меры поддержки. Мы считаем, что каждый инвестор может найти возможности для бизнеса в регионе».</w:t>
      </w:r>
    </w:p>
    <w:p>
      <w:pPr>
        <w:pStyle w:val="Normal"/>
        <w:ind w:firstLine="567"/>
        <w:jc w:val="both"/>
        <w:rPr>
          <w:rFonts w:ascii="Times New Roman" w:hAnsi="Times New Roman"/>
          <w:color w:val="auto"/>
          <w:sz w:val="32"/>
        </w:rPr>
      </w:pPr>
      <w:r>
        <w:rPr>
          <w:rFonts w:ascii="Times New Roman" w:hAnsi="Times New Roman"/>
          <w:color w:val="auto"/>
          <w:sz w:val="32"/>
        </w:rPr>
        <w:t xml:space="preserve">Уважаемые партнеры, инвесторы! Выражаю огромную благодарность за активное участие в жизни города! Вы помогаете Нижневартовску противостоять угрозе распространения новой коронавирусной инфекции, адресно поддерживаете тех, кто оказался в сложной жизненной ситуации. Сегодня в условиях санкционного давления вы делаете всё, чтобы социальное самочувствие нижневартовцев оставалось на достойном уровне. </w:t>
      </w:r>
    </w:p>
    <w:p>
      <w:pPr>
        <w:pStyle w:val="Normal"/>
        <w:ind w:firstLine="567"/>
        <w:jc w:val="both"/>
        <w:rPr>
          <w:rFonts w:ascii="Times New Roman" w:hAnsi="Times New Roman"/>
          <w:color w:val="auto"/>
          <w:sz w:val="32"/>
        </w:rPr>
      </w:pPr>
      <w:r>
        <w:rPr>
          <w:rFonts w:ascii="Times New Roman" w:hAnsi="Times New Roman"/>
          <w:color w:val="auto"/>
          <w:sz w:val="32"/>
        </w:rPr>
        <w:t xml:space="preserve">Уверен, несмотря на трудности вместе мы продолжим уверенно двигаться к нашим целям – повышению качества жизни горожан и созданию максимально благоприятного инвестиционного климата. </w:t>
      </w:r>
    </w:p>
    <w:sectPr>
      <w:footerReference w:type="default" r:id="rId6"/>
      <w:type w:val="nextPage"/>
      <w:pgSz w:w="11906" w:h="16838"/>
      <w:pgMar w:top="1134" w:right="560" w:bottom="1134" w:left="1701" w:header="0"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imSun">
    <w:panose1 w:val="02000506000000020000"/>
  </w:font>
  <w:font w:name="Times New Roman">
    <w:panose1 w:val="02020603050405020304"/>
  </w:font>
  <w:font w:name="Liberation Sans">
    <w:panose1 w:val="020B0604020202020204"/>
  </w:font>
  <w:font w:name="Segoe UI">
    <w:panose1 w:val="020B0502040504020204"/>
  </w:font>
  <w:font w:name="Mangal">
    <w:panose1 w:val="02040503050406030204"/>
  </w:font>
  <w:font w:name="Tinos">
    <w:panose1 w:val="02020603050405020304"/>
  </w:font>
  <w:font w:name="Droid Sans Fallback">
    <w:panose1 w:val="020B0502000000000001"/>
  </w:font>
  <w:font w:name="Droid Sans Devanagari">
    <w:panose1 w:val="020B0606030804020204"/>
  </w:font>
  <w:font w:name="Calibri">
    <w:panose1 w:val="020F05020202040302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sdt>
    <w:sdtPr>
      <w:id w:val="1318932813"/>
      <w:docPartObj>
        <w:docPartGallery w:val="Page Numbers (Bottom of Page)"/>
        <w:docPartUnique w:val="true"/>
      </w:docPartObj>
    </w:sdtPr>
    <w:sdtContent>
      <w:p>
        <w:pPr>
          <w:pStyle w:val="Style25"/>
          <w:jc w:val="center"/>
        </w:pPr>
        <w:r>
          <w:fldChar w:fldCharType="begin"/>
        </w:r>
        <w:r>
          <w:instrText xml:space="preserve"> PAGE </w:instrText>
        </w:r>
        <w:r>
          <w:fldChar w:fldCharType="separate"/>
        </w:r>
        <w:r>
          <w:t xml:space="preserve">5</w:t>
        </w:r>
        <w:r>
          <w:fldChar w:fldCharType="end"/>
        </w:r>
      </w:p>
    </w:sdtContent>
  </w:sdt>
  <w:p>
    <w:pPr>
      <w:pStyle w:val="Style25"/>
    </w:pPr>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eastAsia="zh-CN" w:val="en-US"/>
  <w:shapeDefaults>
    <o:shapedefaults v:ext="edit" spidmax="1026"/>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hAnsi="Calibri" w:eastAsia="Calibri" w:asciiTheme="minorHAnsi" w:hAnsiTheme="minorHAnsi" w:eastAsiaTheme="minorHAnsi" w:cstheme="minorBidi"/>
        <w:sz w:val="22"/>
        <w:szCs w:val="22"/>
        <w:lang w:val="ru-RU" w:bidi="ar-SA" w:eastAsia="en-US"/>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Normal" w:default="1">
    <w:name w:val="Normal"/>
    <w:qFormat/>
    <w:pPr>
      <w:widowControl/>
      <w:spacing w:before="0" w:after="0"/>
      <w:jc w:val="left"/>
    </w:pPr>
    <w:rPr>
      <w:rFonts w:ascii="Calibri" w:hAnsi="Calibri" w:cs="Droid Sans Devanagari" w:eastAsia="Droid Sans Fallback"/>
      <w:color w:val="000000"/>
      <w:sz w:val="22"/>
      <w:szCs w:val="20"/>
      <w:lang w:val="ru-RU" w:bidi="hi-IN" w:eastAsia="zh-CN"/>
    </w:rPr>
  </w:style>
  <w:style w:type="character" w:styleId="DefaultParagraphFont" w:default="1">
    <w:name w:val="Default Paragraph Font"/>
    <w:uiPriority w:val="1"/>
    <w:semiHidden/>
    <w:unhideWhenUsed/>
    <w:qFormat/>
  </w:style>
  <w:style w:type="character" w:styleId="Style14" w:customStyle="1">
    <w:name w:val="Верхний колонтитул Знак"/>
    <w:basedOn w:val="DefaultParagraphFont"/>
    <w:uiPriority w:val="99"/>
    <w:qFormat/>
    <w:rPr>
      <w:rFonts w:cs="Mangal" w:eastAsia="Droid Sans Fallback"/>
      <w:color w:val="000000"/>
      <w:szCs w:val="20"/>
      <w:lang w:bidi="hi-IN" w:eastAsia="zh-CN"/>
    </w:rPr>
  </w:style>
  <w:style w:type="character" w:styleId="Style15" w:customStyle="1">
    <w:name w:val="Нижний колонтитул Знак"/>
    <w:basedOn w:val="DefaultParagraphFont"/>
    <w:uiPriority w:val="99"/>
    <w:qFormat/>
    <w:rPr>
      <w:rFonts w:cs="Mangal" w:eastAsia="Droid Sans Fallback"/>
      <w:color w:val="000000"/>
      <w:szCs w:val="20"/>
      <w:lang w:bidi="hi-IN" w:eastAsia="zh-CN"/>
    </w:rPr>
  </w:style>
  <w:style w:type="character" w:styleId="Style16" w:customStyle="1">
    <w:name w:val="Текст выноски Знак"/>
    <w:basedOn w:val="DefaultParagraphFont"/>
    <w:uiPriority w:val="99"/>
    <w:semiHidden/>
    <w:qFormat/>
    <w:rPr>
      <w:rFonts w:ascii="Segoe UI" w:hAnsi="Segoe UI" w:cs="Mangal" w:eastAsia="Droid Sans Fallback"/>
      <w:color w:val="000000"/>
      <w:sz w:val="18"/>
      <w:szCs w:val="16"/>
      <w:lang w:bidi="hi-IN" w:eastAsia="zh-CN"/>
    </w:rPr>
  </w:style>
  <w:style w:type="paragraph" w:styleId="Style17">
    <w:name w:val="Заголовок"/>
    <w:basedOn w:val="Normal"/>
    <w:next w:val="Style18"/>
    <w:qFormat/>
    <w:pPr>
      <w:keepNext/>
      <w:spacing w:before="240" w:after="120"/>
    </w:pPr>
    <w:rPr>
      <w:rFonts w:ascii="Liberation Sans" w:hAnsi="Liberation Sans" w:cs="Droid Sans Devanagari" w:eastAsia="Droid Sans Fallback"/>
      <w:sz w:val="28"/>
      <w:szCs w:val="28"/>
    </w:rPr>
  </w:style>
  <w:style w:type="paragraph" w:styleId="Style18">
    <w:name w:val="Body Text"/>
    <w:basedOn w:val="Normal"/>
    <w:pPr>
      <w:spacing w:before="0" w:after="140" w:line="276" w:lineRule="auto"/>
    </w:pPr>
  </w:style>
  <w:style w:type="paragraph" w:styleId="Style19">
    <w:name w:val="List"/>
    <w:basedOn w:val="Style18"/>
  </w:style>
  <w:style w:type="paragraph" w:styleId="Style20">
    <w:name w:val="Caption"/>
    <w:basedOn w:val="Normal"/>
    <w:qFormat/>
    <w:pPr>
      <w:suppressLineNumbers/>
      <w:spacing w:before="120" w:after="120"/>
    </w:pPr>
    <w:rPr>
      <w:rFonts w:cs="Droid Sans Devanagari"/>
      <w:i/>
      <w:iCs/>
      <w:sz w:val="24"/>
      <w:szCs w:val="24"/>
    </w:rPr>
  </w:style>
  <w:style w:type="paragraph" w:styleId="Style21">
    <w:name w:val="Указатель"/>
    <w:basedOn w:val="Normal"/>
    <w:qFormat/>
    <w:pPr>
      <w:suppressLineNumbers/>
    </w:pPr>
    <w:rPr>
      <w:rFonts w:cs="Droid Sans Devanagari"/>
    </w:rPr>
  </w:style>
  <w:style w:type="paragraph" w:styleId="Style22">
    <w:name w:val="Title"/>
    <w:basedOn w:val="Normal"/>
    <w:next w:val="Style18"/>
    <w:qFormat/>
    <w:pPr>
      <w:keepNext/>
      <w:spacing w:before="240" w:after="120"/>
    </w:pPr>
    <w:rPr>
      <w:rFonts w:ascii="Liberation Sans" w:hAnsi="Liberation Sans"/>
      <w:sz w:val="28"/>
      <w:szCs w:val="28"/>
    </w:rPr>
  </w:style>
  <w:style w:type="paragraph" w:styleId="Caption">
    <w:name w:val="caption"/>
    <w:basedOn w:val="Normal"/>
    <w:qFormat/>
    <w:pPr>
      <w:suppressLineNumbers/>
      <w:spacing w:before="120" w:after="120"/>
    </w:pPr>
    <w:rPr>
      <w:i/>
      <w:iCs/>
      <w:sz w:val="24"/>
      <w:szCs w:val="24"/>
    </w:rPr>
  </w:style>
  <w:style w:type="paragraph" w:styleId="Indexheading">
    <w:name w:val="index heading"/>
    <w:basedOn w:val="Normal"/>
    <w:qFormat/>
    <w:pPr>
      <w:suppressLineNumbers/>
    </w:pPr>
  </w:style>
  <w:style w:type="paragraph" w:styleId="Style23" w:customStyle="1">
    <w:name w:val="Верхний и нижний колонтитулы"/>
    <w:basedOn w:val="Normal"/>
    <w:qFormat/>
  </w:style>
  <w:style w:type="paragraph" w:styleId="Style24">
    <w:name w:val="Header"/>
    <w:basedOn w:val="Normal"/>
    <w:uiPriority w:val="99"/>
    <w:unhideWhenUsed/>
    <w:pPr>
      <w:tabs>
        <w:tab w:val="clear" w:pos="708"/>
        <w:tab w:val="center" w:pos="4677" w:leader="none"/>
        <w:tab w:val="right" w:pos="9355" w:leader="none"/>
      </w:tabs>
    </w:pPr>
    <w:rPr>
      <w:rFonts w:cs="Mangal"/>
    </w:rPr>
  </w:style>
  <w:style w:type="paragraph" w:styleId="Style25">
    <w:name w:val="Footer"/>
    <w:basedOn w:val="Normal"/>
    <w:uiPriority w:val="99"/>
    <w:unhideWhenUsed/>
    <w:pPr>
      <w:tabs>
        <w:tab w:val="clear" w:pos="708"/>
        <w:tab w:val="center" w:pos="4677" w:leader="none"/>
        <w:tab w:val="right" w:pos="9355" w:leader="none"/>
      </w:tabs>
    </w:pPr>
    <w:rPr>
      <w:rFonts w:cs="Mangal"/>
    </w:rPr>
  </w:style>
  <w:style w:type="paragraph" w:styleId="BalloonText">
    <w:name w:val="Balloon Text"/>
    <w:basedOn w:val="Normal"/>
    <w:uiPriority w:val="99"/>
    <w:semiHidden/>
    <w:unhideWhenUsed/>
    <w:qFormat/>
    <w:rPr>
      <w:rFonts w:ascii="Segoe UI" w:hAnsi="Segoe UI" w:cs="Mangal"/>
      <w:sz w:val="18"/>
      <w:szCs w:val="16"/>
    </w:rPr>
  </w:style>
  <w:style w:type="numbering" w:styleId="NoList" w:default="1">
    <w:name w:val="No List"/>
    <w:uiPriority w:val="99"/>
    <w:semiHidden/>
    <w:unhideWhenUsed/>
    <w:qFormat/>
  </w:style>
  <w:style w:type="table" w:styleId="a1" w:default="1">
    <w:name w:val="Normal Table"/>
    <w:uiPriority w:val="99"/>
    <w:semiHidden/>
    <w:unhideWhenUsed/>
    <w:tblPr>
      <w:tblCellMar>
        <w:left w:w="108" w:type="dxa"/>
        <w:top w:w="0" w:type="dxa"/>
        <w:right w:w="108" w:type="dxa"/>
        <w:bottom w:w="0" w:type="dxa"/>
      </w:tblCellMar>
    </w:tblPr>
  </w:style>
</w:styles>
</file>

<file path=word/webSettings.xml><?xml version="1.0" encoding="utf-8"?>
<w:webSetting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er" Target="footer1.xml" /><Relationship Id="rId7" Type="http://schemas.openxmlformats.org/officeDocument/2006/relationships/customXml" Target="../customXml/item1.xml" /></Relationships>
</file>

<file path=word/_rels/footer1.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Arial"/>
        <a:cs typeface="Arial"/>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Arial"/>
        <a:cs typeface="Arial"/>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
</file>

<file path=customXml/itemProps1.xml><?xml version="1.0" encoding="utf-8"?>
<ds:datastoreItem xmlns:ds="http://schemas.openxmlformats.org/officeDocument/2006/customXml" ds:itemID="{347DEF22-23DE-4171-A41F-28E4E88534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Application>Р7-Офис/7.1.1.35</Application>
  <Characters>8294</Characters>
  <CharactersWithSpaces>9455</CharactersWithSpaces>
  <Pages>5</Pages>
  <Paragraphs>38</Paragraphs>
  <Template>Normal</Template>
  <TotalTime>22</TotalTime>
  <Words>1173</Word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Алексеев Евгений Александрович</dc:creator>
  <dc:description/>
  <dc:language>ru-RU</dc:language>
  <cp:lastModifiedBy/>
  <cp:revision>6</cp:revision>
  <cp:lastPrinted>2022-04-27T16:44:06Z</cp:lastPrinted>
  <dcterms:created xsi:type="dcterms:W3CDTF">2022-04-26T12:39:00Z</dcterms:created>
  <dcterms:modified xsi:type="dcterms:W3CDTF">2022-04-27T16:54:15Z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